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480" w:rsidRDefault="00881480" w:rsidP="00881480">
      <w:pPr>
        <w:widowControl/>
        <w:shd w:val="clear" w:color="auto" w:fill="FFFFFF"/>
        <w:spacing w:line="600" w:lineRule="atLeast"/>
        <w:jc w:val="center"/>
        <w:outlineLvl w:val="1"/>
        <w:rPr>
          <w:rFonts w:ascii="微软雅黑" w:eastAsia="微软雅黑" w:hAnsi="微软雅黑" w:cs="宋体"/>
          <w:b/>
          <w:bCs/>
          <w:color w:val="C60002"/>
          <w:kern w:val="36"/>
          <w:sz w:val="36"/>
          <w:szCs w:val="36"/>
          <w:lang w:val="en"/>
        </w:rPr>
      </w:pPr>
      <w:r w:rsidRPr="00881480">
        <w:rPr>
          <w:rFonts w:ascii="微软雅黑" w:eastAsia="微软雅黑" w:hAnsi="微软雅黑" w:cs="宋体" w:hint="eastAsia"/>
          <w:b/>
          <w:bCs/>
          <w:color w:val="C60002"/>
          <w:kern w:val="36"/>
          <w:sz w:val="36"/>
          <w:szCs w:val="36"/>
          <w:lang w:val="en"/>
        </w:rPr>
        <w:t>关于进一步加强γ射线移动探伤辐射安全管理的通知</w:t>
      </w:r>
    </w:p>
    <w:p w:rsidR="00F23877" w:rsidRPr="00F23877" w:rsidRDefault="00F23877" w:rsidP="00881480">
      <w:pPr>
        <w:widowControl/>
        <w:shd w:val="clear" w:color="auto" w:fill="FFFFFF"/>
        <w:spacing w:line="600" w:lineRule="atLeast"/>
        <w:jc w:val="center"/>
        <w:outlineLvl w:val="1"/>
        <w:rPr>
          <w:rFonts w:ascii="微软雅黑" w:eastAsia="微软雅黑" w:hAnsi="微软雅黑" w:cs="宋体" w:hint="eastAsia"/>
          <w:color w:val="000000"/>
          <w:kern w:val="0"/>
          <w:sz w:val="24"/>
          <w:szCs w:val="24"/>
          <w:lang w:val="en"/>
        </w:rPr>
      </w:pPr>
      <w:bookmarkStart w:id="0" w:name="_GoBack"/>
      <w:r w:rsidRPr="00F23877">
        <w:rPr>
          <w:rFonts w:ascii="微软雅黑" w:eastAsia="微软雅黑" w:hAnsi="微软雅黑" w:cs="宋体" w:hint="eastAsia"/>
          <w:color w:val="000000"/>
          <w:kern w:val="0"/>
          <w:sz w:val="24"/>
          <w:szCs w:val="24"/>
          <w:lang w:val="en"/>
        </w:rPr>
        <w:t>环办函[2014]1293号</w:t>
      </w:r>
    </w:p>
    <w:bookmarkEnd w:id="0"/>
    <w:p w:rsidR="00881480" w:rsidRPr="00881480" w:rsidRDefault="00881480" w:rsidP="00881480">
      <w:pPr>
        <w:widowControl/>
        <w:shd w:val="clear" w:color="auto" w:fill="FFFFFF"/>
        <w:spacing w:line="450" w:lineRule="atLeast"/>
        <w:jc w:val="lef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t>各省、自治区、直辖市环境保护厅（局），各γ射线移动探伤单位：</w:t>
      </w:r>
    </w:p>
    <w:p w:rsidR="00881480" w:rsidRPr="00881480" w:rsidRDefault="00881480" w:rsidP="00881480">
      <w:pPr>
        <w:widowControl/>
        <w:shd w:val="clear" w:color="auto" w:fill="FFFFFF"/>
        <w:spacing w:line="450" w:lineRule="atLeast"/>
        <w:jc w:val="lef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t xml:space="preserve">　　2014年5月，天津宏迪工程检测发展有限公司（以下简称宏迪公司）在江苏省南京市作业期间，违法雇用无资质人员进行γ射线移动探伤作业，多次严重违反操作规程，导致一枚Ⅱ类放射源丢失，一名人员受到超剂量照射，引发急性放射病，确认为重大辐射事故。</w:t>
      </w:r>
    </w:p>
    <w:p w:rsidR="00881480" w:rsidRPr="00881480" w:rsidRDefault="00881480" w:rsidP="00881480">
      <w:pPr>
        <w:widowControl/>
        <w:shd w:val="clear" w:color="auto" w:fill="FFFFFF"/>
        <w:spacing w:line="450" w:lineRule="atLeast"/>
        <w:jc w:val="lef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t xml:space="preserve">　　这是一起典型的由于公司违法雇佣无资质人员导致违规操作，管理层安全意识淡薄导致处置不当的责任事故。雇佣无资质人员操作，埋下隐患，是事故发生的重要诱因；操作人员多次违反操作规程，在源辫回到贮存位前即手动解除安全闭锁，卸下前导管，导致源辫与钢丝绳脱钩，未使用辐射剂量监测仪对探伤机表面剂量进行正确监测和判断；公司管理层接到报告后，没有按照运营规程要求将探伤机返回贮存库，而是要求将其带出作业区维修，错失再次确认放射源是否安全返回贮存位和及时找回脱落源的最佳时机,最终导致重大事故发生。</w:t>
      </w:r>
    </w:p>
    <w:p w:rsidR="00881480" w:rsidRPr="00881480" w:rsidRDefault="00881480" w:rsidP="00881480">
      <w:pPr>
        <w:widowControl/>
        <w:shd w:val="clear" w:color="auto" w:fill="FFFFFF"/>
        <w:spacing w:line="450" w:lineRule="atLeast"/>
        <w:jc w:val="lef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t xml:space="preserve">　　天津市环境保护局根据《放射性同位素与射线装置安全和防护条例》（国务院第449号令）第六十一条规定，向宏迪公司下达了行政处罚决定书，对宏迪公司处人民币20万元罚款，并吊销辐射安全许可证。</w:t>
      </w:r>
    </w:p>
    <w:p w:rsidR="00881480" w:rsidRPr="00881480" w:rsidRDefault="00881480" w:rsidP="00881480">
      <w:pPr>
        <w:widowControl/>
        <w:shd w:val="clear" w:color="auto" w:fill="FFFFFF"/>
        <w:spacing w:line="450" w:lineRule="atLeast"/>
        <w:jc w:val="lef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t xml:space="preserve">　　为汲取这次事故的深刻教训，进一步加强我国γ射线移动探伤活动的辐射安全管理，确保环境的辐射安全和公众健康，各级环保部门和γ射线移动探伤相关单位要严格执行《关于γ射线探伤装置的辐射安全要求》（环发〔2007〕8号），并认真落实以下要求：</w:t>
      </w:r>
    </w:p>
    <w:p w:rsidR="00881480" w:rsidRPr="00881480" w:rsidRDefault="00881480" w:rsidP="00881480">
      <w:pPr>
        <w:widowControl/>
        <w:shd w:val="clear" w:color="auto" w:fill="FFFFFF"/>
        <w:spacing w:line="450" w:lineRule="atLeast"/>
        <w:jc w:val="lef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lastRenderedPageBreak/>
        <w:t xml:space="preserve">　　一、各γ射线移动探伤装置使用单位应加强从业人员管理，按照法规要求做好人员培训工作，严禁无证人员操作探伤装置。</w:t>
      </w:r>
    </w:p>
    <w:p w:rsidR="00881480" w:rsidRPr="00881480" w:rsidRDefault="00881480" w:rsidP="00881480">
      <w:pPr>
        <w:widowControl/>
        <w:shd w:val="clear" w:color="auto" w:fill="FFFFFF"/>
        <w:spacing w:line="450" w:lineRule="atLeast"/>
        <w:jc w:val="lef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t xml:space="preserve">　　二、γ射线移动探伤作业时应配备现场安全员，主要负责场所区域的划分与控制、场所限制区域的人员管理、场所辐射剂量水平监测等安全相关工作，并承担探伤装置的领取、归还以及确认探伤源是否返回装置等工作。现场安全员应接受与操作人员等同的辐射安全培训。</w:t>
      </w:r>
    </w:p>
    <w:p w:rsidR="00881480" w:rsidRPr="00881480" w:rsidRDefault="00881480" w:rsidP="00881480">
      <w:pPr>
        <w:widowControl/>
        <w:shd w:val="clear" w:color="auto" w:fill="FFFFFF"/>
        <w:spacing w:line="450" w:lineRule="atLeast"/>
        <w:jc w:val="lef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t xml:space="preserve">　　三、γ射线移动探伤室外作业时（应急探伤作业除外），应在作业现场边界外公众可达地点放置安全信息公示牌，将辐射安全许可证、公司法人、辐射安全负责人、操作人员和现场安全员的姓名、照片、资质证书和环保部门监督举报电话等信息进行公示，接受公众监督。</w:t>
      </w:r>
    </w:p>
    <w:p w:rsidR="00881480" w:rsidRPr="00881480" w:rsidRDefault="00881480" w:rsidP="00881480">
      <w:pPr>
        <w:widowControl/>
        <w:shd w:val="clear" w:color="auto" w:fill="FFFFFF"/>
        <w:spacing w:line="450" w:lineRule="atLeast"/>
        <w:jc w:val="lef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t xml:space="preserve">　　安全信息公示牌面积应不小于2平方米，公示信息应采取喷绘（印刷）的方式进行制作。安全信息公示牌应适应野外作业需要（具备防水、防风等抵御外界影响的能力），确保信息的清晰辨识。公示信息如发生变化应重新制作安全信息公示牌，禁止对安全信息公示牌进行涂改、污损。</w:t>
      </w:r>
    </w:p>
    <w:p w:rsidR="00881480" w:rsidRPr="00881480" w:rsidRDefault="00881480" w:rsidP="00881480">
      <w:pPr>
        <w:widowControl/>
        <w:shd w:val="clear" w:color="auto" w:fill="FFFFFF"/>
        <w:spacing w:line="450" w:lineRule="atLeast"/>
        <w:jc w:val="lef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t xml:space="preserve">　　四、各γ射线移动探伤装置使用单位应明确并牢记辐射安全主体责任，及时履行环保手续，加强企业自身的辐射安全管理，强化辐射工作人员的法律法规学习，培植单位的核安全文化，防止事故发生。</w:t>
      </w:r>
    </w:p>
    <w:p w:rsidR="00881480" w:rsidRPr="00881480" w:rsidRDefault="00881480" w:rsidP="00881480">
      <w:pPr>
        <w:widowControl/>
        <w:shd w:val="clear" w:color="auto" w:fill="FFFFFF"/>
        <w:spacing w:line="450" w:lineRule="atLeast"/>
        <w:jc w:val="lef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t xml:space="preserve">　　五、各γ射线移动探伤装置生产单位应对探伤装置的设计进行持续改进，提升装置的固有安全性，避免人为违规操作导致安全事故发生。</w:t>
      </w:r>
    </w:p>
    <w:p w:rsidR="00881480" w:rsidRPr="00881480" w:rsidRDefault="00881480" w:rsidP="00881480">
      <w:pPr>
        <w:widowControl/>
        <w:shd w:val="clear" w:color="auto" w:fill="FFFFFF"/>
        <w:spacing w:line="450" w:lineRule="atLeast"/>
        <w:jc w:val="lef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t xml:space="preserve">　　六、各地应强化对γ射线移动探伤装置生产、销售、使用单位的监督管理，加大监督检查力度，及时处理公众举报，对违规操作零容忍，对弄虚作假零容忍，对违法行为从严查处。 </w:t>
      </w:r>
    </w:p>
    <w:p w:rsidR="00881480" w:rsidRPr="00881480" w:rsidRDefault="00881480" w:rsidP="00881480">
      <w:pPr>
        <w:widowControl/>
        <w:shd w:val="clear" w:color="auto" w:fill="FFFFFF"/>
        <w:spacing w:line="450" w:lineRule="atLeast"/>
        <w:jc w:val="lef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lastRenderedPageBreak/>
        <w:t xml:space="preserve">　　七、各地应强化对γ射线移动探伤异地使用备案的管理，在γ射线移动探伤异地首次作业时，作业现场所在地承担监管职责的环保部门应进行现场检查，核实相关信息，督促企业做好辐射安全工作，消除安全隐患。</w:t>
      </w:r>
    </w:p>
    <w:p w:rsidR="00881480" w:rsidRPr="00881480" w:rsidRDefault="00881480" w:rsidP="00881480">
      <w:pPr>
        <w:widowControl/>
        <w:shd w:val="clear" w:color="auto" w:fill="FFFFFF"/>
        <w:spacing w:line="450" w:lineRule="atLeast"/>
        <w:jc w:val="lef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t xml:space="preserve">　　八、各省级环保部门间应加强联动，相互支持，共同做好移动探伤跨省（区、市）作业的监管工作。 </w:t>
      </w:r>
    </w:p>
    <w:p w:rsidR="00881480" w:rsidRPr="00881480" w:rsidRDefault="00881480" w:rsidP="00881480">
      <w:pPr>
        <w:widowControl/>
        <w:shd w:val="clear" w:color="auto" w:fill="FFFFFF"/>
        <w:spacing w:line="450" w:lineRule="atLeast"/>
        <w:jc w:val="righ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t xml:space="preserve">　　环境保护部办公厅</w:t>
      </w:r>
    </w:p>
    <w:p w:rsidR="00881480" w:rsidRPr="00881480" w:rsidRDefault="00881480" w:rsidP="00881480">
      <w:pPr>
        <w:widowControl/>
        <w:shd w:val="clear" w:color="auto" w:fill="FFFFFF"/>
        <w:spacing w:line="450" w:lineRule="atLeast"/>
        <w:jc w:val="righ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t xml:space="preserve">　　2014年10月10日</w:t>
      </w:r>
    </w:p>
    <w:p w:rsidR="00881480" w:rsidRPr="00881480" w:rsidRDefault="00881480" w:rsidP="00881480">
      <w:pPr>
        <w:widowControl/>
        <w:shd w:val="clear" w:color="auto" w:fill="FFFFFF"/>
        <w:spacing w:line="450" w:lineRule="atLeast"/>
        <w:jc w:val="left"/>
        <w:rPr>
          <w:rFonts w:ascii="微软雅黑" w:eastAsia="微软雅黑" w:hAnsi="微软雅黑" w:cs="宋体"/>
          <w:color w:val="000000"/>
          <w:kern w:val="0"/>
          <w:sz w:val="24"/>
          <w:szCs w:val="24"/>
          <w:lang w:val="en"/>
        </w:rPr>
      </w:pPr>
      <w:r w:rsidRPr="00881480">
        <w:rPr>
          <w:rFonts w:ascii="微软雅黑" w:eastAsia="微软雅黑" w:hAnsi="微软雅黑" w:cs="宋体" w:hint="eastAsia"/>
          <w:color w:val="000000"/>
          <w:kern w:val="0"/>
          <w:sz w:val="24"/>
          <w:szCs w:val="24"/>
          <w:lang w:val="en"/>
        </w:rPr>
        <w:t xml:space="preserve">　　抄送：中国特种设备检验协会，中国原子能科学研究院，成都中核高通同位素股份有限公司，中国核动力研究设计院，海门伽玛星探伤设备有限公司，丹东市阳光仪器有限公司。</w:t>
      </w:r>
    </w:p>
    <w:p w:rsidR="0044183A" w:rsidRPr="00881480" w:rsidRDefault="0044183A">
      <w:pPr>
        <w:rPr>
          <w:lang w:val="en"/>
        </w:rPr>
      </w:pPr>
    </w:p>
    <w:sectPr w:rsidR="0044183A" w:rsidRPr="008814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574" w:rsidRDefault="002E2574" w:rsidP="00881480">
      <w:r>
        <w:separator/>
      </w:r>
    </w:p>
  </w:endnote>
  <w:endnote w:type="continuationSeparator" w:id="0">
    <w:p w:rsidR="002E2574" w:rsidRDefault="002E2574" w:rsidP="00881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574" w:rsidRDefault="002E2574" w:rsidP="00881480">
      <w:r>
        <w:separator/>
      </w:r>
    </w:p>
  </w:footnote>
  <w:footnote w:type="continuationSeparator" w:id="0">
    <w:p w:rsidR="002E2574" w:rsidRDefault="002E2574" w:rsidP="008814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389"/>
    <w:rsid w:val="002C47E4"/>
    <w:rsid w:val="002E2574"/>
    <w:rsid w:val="0044183A"/>
    <w:rsid w:val="00680389"/>
    <w:rsid w:val="00881480"/>
    <w:rsid w:val="00F23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495341"/>
  <w15:chartTrackingRefBased/>
  <w15:docId w15:val="{97E20F74-4321-493D-A176-E1E5830CF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148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81480"/>
    <w:rPr>
      <w:sz w:val="18"/>
      <w:szCs w:val="18"/>
    </w:rPr>
  </w:style>
  <w:style w:type="paragraph" w:styleId="a5">
    <w:name w:val="footer"/>
    <w:basedOn w:val="a"/>
    <w:link w:val="a6"/>
    <w:uiPriority w:val="99"/>
    <w:unhideWhenUsed/>
    <w:rsid w:val="00881480"/>
    <w:pPr>
      <w:tabs>
        <w:tab w:val="center" w:pos="4153"/>
        <w:tab w:val="right" w:pos="8306"/>
      </w:tabs>
      <w:snapToGrid w:val="0"/>
      <w:jc w:val="left"/>
    </w:pPr>
    <w:rPr>
      <w:sz w:val="18"/>
      <w:szCs w:val="18"/>
    </w:rPr>
  </w:style>
  <w:style w:type="character" w:customStyle="1" w:styleId="a6">
    <w:name w:val="页脚 字符"/>
    <w:basedOn w:val="a0"/>
    <w:link w:val="a5"/>
    <w:uiPriority w:val="99"/>
    <w:rsid w:val="008814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8274656">
      <w:bodyDiv w:val="1"/>
      <w:marLeft w:val="0"/>
      <w:marRight w:val="0"/>
      <w:marTop w:val="0"/>
      <w:marBottom w:val="0"/>
      <w:divBdr>
        <w:top w:val="none" w:sz="0" w:space="0" w:color="auto"/>
        <w:left w:val="none" w:sz="0" w:space="0" w:color="auto"/>
        <w:bottom w:val="none" w:sz="0" w:space="0" w:color="auto"/>
        <w:right w:val="none" w:sz="0" w:space="0" w:color="auto"/>
      </w:divBdr>
      <w:divsChild>
        <w:div w:id="1182663759">
          <w:marLeft w:val="0"/>
          <w:marRight w:val="0"/>
          <w:marTop w:val="0"/>
          <w:marBottom w:val="0"/>
          <w:divBdr>
            <w:top w:val="none" w:sz="0" w:space="0" w:color="auto"/>
            <w:left w:val="none" w:sz="0" w:space="0" w:color="auto"/>
            <w:bottom w:val="none" w:sz="0" w:space="0" w:color="auto"/>
            <w:right w:val="none" w:sz="0" w:space="0" w:color="auto"/>
          </w:divBdr>
          <w:divsChild>
            <w:div w:id="184372505">
              <w:marLeft w:val="0"/>
              <w:marRight w:val="0"/>
              <w:marTop w:val="0"/>
              <w:marBottom w:val="0"/>
              <w:divBdr>
                <w:top w:val="none" w:sz="0" w:space="0" w:color="auto"/>
                <w:left w:val="none" w:sz="0" w:space="0" w:color="auto"/>
                <w:bottom w:val="none" w:sz="0" w:space="0" w:color="auto"/>
                <w:right w:val="none" w:sz="0" w:space="0" w:color="auto"/>
              </w:divBdr>
              <w:divsChild>
                <w:div w:id="798692901">
                  <w:marLeft w:val="0"/>
                  <w:marRight w:val="0"/>
                  <w:marTop w:val="0"/>
                  <w:marBottom w:val="0"/>
                  <w:divBdr>
                    <w:top w:val="none" w:sz="0" w:space="0" w:color="auto"/>
                    <w:left w:val="none" w:sz="0" w:space="0" w:color="auto"/>
                    <w:bottom w:val="none" w:sz="0" w:space="0" w:color="auto"/>
                    <w:right w:val="none" w:sz="0" w:space="0" w:color="auto"/>
                  </w:divBdr>
                  <w:divsChild>
                    <w:div w:id="1950240057">
                      <w:marLeft w:val="0"/>
                      <w:marRight w:val="0"/>
                      <w:marTop w:val="0"/>
                      <w:marBottom w:val="0"/>
                      <w:divBdr>
                        <w:top w:val="single" w:sz="6" w:space="23" w:color="E8E8E8"/>
                        <w:left w:val="single" w:sz="6" w:space="30" w:color="E8E8E8"/>
                        <w:bottom w:val="single" w:sz="6" w:space="23" w:color="E8E8E8"/>
                        <w:right w:val="single" w:sz="6" w:space="30" w:color="E8E8E8"/>
                      </w:divBdr>
                      <w:divsChild>
                        <w:div w:id="18591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233</Words>
  <Characters>1332</Characters>
  <Application>Microsoft Office Word</Application>
  <DocSecurity>0</DocSecurity>
  <Lines>11</Lines>
  <Paragraphs>3</Paragraphs>
  <ScaleCrop>false</ScaleCrop>
  <Company>Hewlett-Packard Company</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王旭杰</dc:creator>
  <cp:keywords/>
  <dc:description/>
  <cp:lastModifiedBy>王旭杰</cp:lastModifiedBy>
  <cp:revision>4</cp:revision>
  <dcterms:created xsi:type="dcterms:W3CDTF">2021-11-08T04:52:00Z</dcterms:created>
  <dcterms:modified xsi:type="dcterms:W3CDTF">2021-11-12T06:23:00Z</dcterms:modified>
</cp:coreProperties>
</file>