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500" w:type="pct"/>
        <w:tblCellSpacing w:w="0" w:type="dxa"/>
        <w:tblCellMar>
          <w:top w:w="60" w:type="dxa"/>
          <w:left w:w="60" w:type="dxa"/>
          <w:bottom w:w="60" w:type="dxa"/>
          <w:right w:w="60" w:type="dxa"/>
        </w:tblCellMar>
        <w:tblLook w:val="04A0" w:firstRow="1" w:lastRow="0" w:firstColumn="1" w:lastColumn="0" w:noHBand="0" w:noVBand="1"/>
      </w:tblPr>
      <w:tblGrid>
        <w:gridCol w:w="7583"/>
      </w:tblGrid>
      <w:tr w:rsidR="00B35D84" w:rsidRPr="00FE7D60" w:rsidTr="005955E0">
        <w:trPr>
          <w:tblCellSpacing w:w="0" w:type="dxa"/>
        </w:trPr>
        <w:tc>
          <w:tcPr>
            <w:tcW w:w="0" w:type="auto"/>
            <w:vAlign w:val="center"/>
            <w:hideMark/>
          </w:tcPr>
          <w:p w:rsidR="00B35D84" w:rsidRPr="00A91D0E" w:rsidRDefault="00B35D84" w:rsidP="005955E0">
            <w:pPr>
              <w:widowControl/>
              <w:spacing w:line="360" w:lineRule="auto"/>
              <w:jc w:val="center"/>
              <w:rPr>
                <w:rFonts w:ascii="宋体" w:hAnsi="宋体" w:cs="宋体"/>
                <w:kern w:val="0"/>
                <w:sz w:val="24"/>
                <w:szCs w:val="24"/>
              </w:rPr>
            </w:pPr>
            <w:r w:rsidRPr="00FE7D60">
              <w:rPr>
                <w:rFonts w:ascii="宋体" w:hAnsi="宋体" w:cs="宋体"/>
                <w:b/>
                <w:bCs/>
                <w:color w:val="FF0000"/>
                <w:kern w:val="0"/>
                <w:sz w:val="24"/>
                <w:szCs w:val="24"/>
              </w:rPr>
              <w:t>环境保护部办公厅函</w:t>
            </w:r>
            <w:r w:rsidRPr="00A91D0E">
              <w:rPr>
                <w:rFonts w:ascii="宋体" w:hAnsi="宋体" w:cs="宋体"/>
                <w:kern w:val="0"/>
                <w:sz w:val="24"/>
                <w:szCs w:val="24"/>
              </w:rPr>
              <w:br/>
            </w:r>
            <w:r w:rsidRPr="00A91D0E">
              <w:rPr>
                <w:rFonts w:ascii="宋体" w:hAnsi="宋体" w:cs="宋体"/>
                <w:kern w:val="0"/>
                <w:sz w:val="24"/>
                <w:szCs w:val="24"/>
              </w:rPr>
              <w:br/>
            </w:r>
            <w:r w:rsidRPr="00FE7D60">
              <w:rPr>
                <w:rFonts w:ascii="宋体" w:hAnsi="宋体" w:cs="宋体"/>
                <w:color w:val="000000"/>
                <w:kern w:val="0"/>
                <w:sz w:val="24"/>
                <w:szCs w:val="24"/>
              </w:rPr>
              <w:t>环办函[2011]920号</w:t>
            </w:r>
          </w:p>
        </w:tc>
      </w:tr>
    </w:tbl>
    <w:p w:rsidR="00B35D84" w:rsidRPr="00A91D0E" w:rsidRDefault="00B35D84" w:rsidP="00B35D84">
      <w:pPr>
        <w:widowControl/>
        <w:spacing w:line="360" w:lineRule="auto"/>
        <w:jc w:val="left"/>
        <w:rPr>
          <w:rFonts w:ascii="宋体" w:hAnsi="宋体" w:cs="宋体"/>
          <w:vanish/>
          <w:kern w:val="0"/>
          <w:sz w:val="24"/>
          <w:szCs w:val="24"/>
        </w:rPr>
      </w:pPr>
    </w:p>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B35D84" w:rsidRPr="00FE7D60" w:rsidTr="005955E0">
        <w:trPr>
          <w:trHeight w:val="45"/>
          <w:tblCellSpacing w:w="0" w:type="dxa"/>
          <w:jc w:val="center"/>
        </w:trPr>
        <w:tc>
          <w:tcPr>
            <w:tcW w:w="0" w:type="auto"/>
            <w:vAlign w:val="center"/>
            <w:hideMark/>
          </w:tcPr>
          <w:p w:rsidR="00B35D84" w:rsidRPr="00FE7D60" w:rsidRDefault="00B35D84" w:rsidP="005955E0">
            <w:pPr>
              <w:widowControl/>
              <w:spacing w:line="360" w:lineRule="auto"/>
              <w:jc w:val="left"/>
              <w:rPr>
                <w:rFonts w:ascii="宋体" w:hAnsi="宋体" w:cs="宋体"/>
                <w:kern w:val="0"/>
                <w:sz w:val="24"/>
                <w:szCs w:val="24"/>
              </w:rPr>
            </w:pPr>
          </w:p>
        </w:tc>
      </w:tr>
      <w:tr w:rsidR="00B35D84" w:rsidRPr="00FE7D60" w:rsidTr="005955E0">
        <w:trPr>
          <w:trHeight w:val="30"/>
          <w:tblCellSpacing w:w="0" w:type="dxa"/>
          <w:jc w:val="center"/>
        </w:trPr>
        <w:tc>
          <w:tcPr>
            <w:tcW w:w="0" w:type="auto"/>
            <w:shd w:val="clear" w:color="auto" w:fill="FF0000"/>
            <w:vAlign w:val="center"/>
            <w:hideMark/>
          </w:tcPr>
          <w:p w:rsidR="00B35D84" w:rsidRPr="00FE7D60" w:rsidRDefault="00B35D84" w:rsidP="005955E0">
            <w:pPr>
              <w:widowControl/>
              <w:spacing w:line="360" w:lineRule="auto"/>
              <w:jc w:val="left"/>
              <w:rPr>
                <w:rFonts w:ascii="宋体" w:hAnsi="宋体" w:cs="宋体"/>
                <w:kern w:val="0"/>
                <w:sz w:val="24"/>
                <w:szCs w:val="24"/>
              </w:rPr>
            </w:pPr>
          </w:p>
        </w:tc>
      </w:tr>
      <w:tr w:rsidR="00B35D84" w:rsidRPr="00FE7D60" w:rsidTr="005955E0">
        <w:trPr>
          <w:trHeight w:val="45"/>
          <w:tblCellSpacing w:w="0" w:type="dxa"/>
          <w:jc w:val="center"/>
        </w:trPr>
        <w:tc>
          <w:tcPr>
            <w:tcW w:w="0" w:type="auto"/>
            <w:vAlign w:val="center"/>
            <w:hideMark/>
          </w:tcPr>
          <w:p w:rsidR="00B35D84" w:rsidRPr="00FE7D60" w:rsidRDefault="00B35D84" w:rsidP="005955E0">
            <w:pPr>
              <w:widowControl/>
              <w:spacing w:line="360" w:lineRule="auto"/>
              <w:jc w:val="left"/>
              <w:rPr>
                <w:rFonts w:ascii="宋体" w:hAnsi="宋体" w:cs="宋体"/>
                <w:kern w:val="0"/>
                <w:sz w:val="24"/>
                <w:szCs w:val="24"/>
              </w:rPr>
            </w:pPr>
          </w:p>
        </w:tc>
      </w:tr>
    </w:tbl>
    <w:p w:rsidR="00B35D84" w:rsidRPr="00A91D0E" w:rsidRDefault="00B35D84" w:rsidP="00B35D84">
      <w:pPr>
        <w:pStyle w:val="2"/>
        <w:spacing w:line="360" w:lineRule="auto"/>
        <w:jc w:val="center"/>
        <w:rPr>
          <w:sz w:val="24"/>
          <w:szCs w:val="24"/>
        </w:rPr>
      </w:pPr>
      <w:r w:rsidRPr="00A91D0E">
        <w:rPr>
          <w:sz w:val="24"/>
          <w:szCs w:val="24"/>
        </w:rPr>
        <w:br/>
      </w:r>
      <w:bookmarkStart w:id="0" w:name="_Toc389836311"/>
      <w:bookmarkStart w:id="1" w:name="_GoBack"/>
      <w:r w:rsidRPr="00FE7D60">
        <w:rPr>
          <w:rFonts w:hint="eastAsia"/>
          <w:sz w:val="24"/>
          <w:szCs w:val="24"/>
        </w:rPr>
        <w:t>关于加强废旧金属回收熔炼企业辐射安全监管的通知</w:t>
      </w:r>
      <w:bookmarkEnd w:id="0"/>
      <w:bookmarkEnd w:id="1"/>
      <w:r w:rsidRPr="00A91D0E">
        <w:rPr>
          <w:sz w:val="24"/>
          <w:szCs w:val="24"/>
        </w:rPr>
        <w:br/>
      </w:r>
    </w:p>
    <w:p w:rsidR="00B35D84" w:rsidRPr="00A91D0E" w:rsidRDefault="00B35D84" w:rsidP="00B35D84">
      <w:pPr>
        <w:widowControl/>
        <w:spacing w:before="100" w:beforeAutospacing="1" w:after="100" w:afterAutospacing="1" w:line="360" w:lineRule="auto"/>
        <w:jc w:val="left"/>
        <w:rPr>
          <w:rFonts w:ascii="宋体" w:hAnsi="宋体" w:cs="宋体"/>
          <w:kern w:val="0"/>
          <w:sz w:val="24"/>
          <w:szCs w:val="24"/>
        </w:rPr>
      </w:pPr>
      <w:r w:rsidRPr="00B2474E">
        <w:rPr>
          <w:rFonts w:ascii="宋体" w:hAnsi="宋体" w:cs="宋体"/>
          <w:kern w:val="0"/>
          <w:sz w:val="24"/>
          <w:szCs w:val="24"/>
        </w:rPr>
        <w:t>各省、自治区、直辖市环境保护厅（局）：</w:t>
      </w:r>
    </w:p>
    <w:p w:rsidR="00B35D84" w:rsidRPr="00FE7D60" w:rsidRDefault="00B35D84" w:rsidP="00B35D84">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t xml:space="preserve">　　为了贯彻落实《放射性同位素与射线装置安全和防护条例》和《放射性同位素与射线装置安全和防护管理办法》（环境保护部令第18号，以下简称《管理办法》），加强废旧金属回收熔炼企业（以下简称熔炼企业）辐射监测工作，切实解决失控放射源或被放射性物质污染金属制品导致的环境潜在辐射安全隐患问题，各省、自治区、直辖市环境保护厅(局)应按《管理办法》对熔炼企业严格管理，做好以下工作：</w:t>
      </w:r>
    </w:p>
    <w:p w:rsidR="00B35D84" w:rsidRPr="00FE7D60" w:rsidRDefault="00B35D84" w:rsidP="00B35D84">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t xml:space="preserve">　　一、安全责任的界定原则是，污染物品的拥有者负责对污染物品进行处理处置，对污染来源进行调查举证，并承担全部安全责任。如拥有者证明所拥有的污染物品来自其他单位，则来源单位承担安全责任，该拥有者只承担连带责任。</w:t>
      </w:r>
    </w:p>
    <w:p w:rsidR="00B35D84" w:rsidRPr="00FE7D60" w:rsidRDefault="00B35D84" w:rsidP="00B35D84">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t xml:space="preserve">　　二、所有熔炼企业必须开展辐射监测，发现放射性污染时应立即报告当地环保部门。对已发现的失控放射源或者被放射性污染的金属要严格控制，实施有效管理，避免流入社会，造成环境污染和公众健康的损害。</w:t>
      </w:r>
    </w:p>
    <w:p w:rsidR="00B35D84" w:rsidRPr="00FE7D60" w:rsidRDefault="00B35D84" w:rsidP="00B35D84">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t xml:space="preserve">　　三、各地环保部门对已查获的被污染金属应采取有效措施，及时督促拥有者就被污染金属进行回收，并妥善处理。</w:t>
      </w:r>
    </w:p>
    <w:p w:rsidR="00B35D84" w:rsidRPr="00FE7D60" w:rsidRDefault="00B35D84" w:rsidP="00B35D84">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t xml:space="preserve">　　四、处理被查获的失控放射源或者被污染金属所产生的费用，由失控放射源或者被污染金属的原持有者或者供货方承担。各省级环保部门要严格执法,对失控放射源或者被污染金属的原持有者依法查处。</w:t>
      </w:r>
    </w:p>
    <w:p w:rsidR="00B35D84" w:rsidRPr="00FE7D60" w:rsidRDefault="00B35D84" w:rsidP="00B35D84">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lastRenderedPageBreak/>
        <w:t xml:space="preserve">　　五、辐射监测数据表明所测金属的放射性辐射水平高于当地天然环境辐射本底水平时，应对其采用伽玛谱仪进行分析，确认是否被放射性污染。</w:t>
      </w:r>
    </w:p>
    <w:p w:rsidR="00B35D84" w:rsidRPr="00FE7D60" w:rsidRDefault="00B35D84" w:rsidP="00B35D84">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t xml:space="preserve">　　六、对于Co-60活度浓度不大于100贝可/千克的金属，经检测核实后可无限制使用；对于Co-60活度浓度大于20000贝可/千克的金属，应采取集中贮存方式进行处置；对于活度浓度介于上述两者之间的，熔炼企业应在当地环保部门的监管下对污染金属进行循环再利用。</w:t>
      </w:r>
    </w:p>
    <w:p w:rsidR="00B35D84" w:rsidRPr="00FE7D60" w:rsidRDefault="00B35D84" w:rsidP="00B35D84">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t xml:space="preserve">　　七、应贮存处置的被污染的金属，可送交所在地城市放射性废物库或其他有资质的单位进行暂存，使之衰变达到可循环再利用为止。</w:t>
      </w:r>
    </w:p>
    <w:p w:rsidR="00B35D84" w:rsidRPr="00FE7D60" w:rsidRDefault="00B35D84" w:rsidP="00B35D84">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t xml:space="preserve">　　</w:t>
      </w:r>
    </w:p>
    <w:p w:rsidR="00B35D84" w:rsidRPr="00FE7D60" w:rsidRDefault="00B35D84" w:rsidP="00B35D84">
      <w:pPr>
        <w:widowControl/>
        <w:spacing w:before="100" w:beforeAutospacing="1" w:after="100" w:afterAutospacing="1" w:line="360" w:lineRule="auto"/>
        <w:jc w:val="right"/>
        <w:rPr>
          <w:rFonts w:ascii="宋体" w:hAnsi="宋体" w:cs="宋体"/>
          <w:kern w:val="0"/>
          <w:sz w:val="24"/>
          <w:szCs w:val="24"/>
        </w:rPr>
      </w:pPr>
      <w:r w:rsidRPr="00FE7D60">
        <w:rPr>
          <w:rFonts w:ascii="宋体" w:hAnsi="宋体" w:cs="宋体"/>
          <w:kern w:val="0"/>
          <w:sz w:val="24"/>
          <w:szCs w:val="24"/>
        </w:rPr>
        <w:t xml:space="preserve">　　二○一一年八月二日</w:t>
      </w:r>
    </w:p>
    <w:p w:rsidR="0044183A" w:rsidRPr="00B35D84" w:rsidRDefault="00B35D84" w:rsidP="00B35D84">
      <w:pPr>
        <w:widowControl/>
        <w:spacing w:before="100" w:beforeAutospacing="1" w:after="100" w:afterAutospacing="1" w:line="360" w:lineRule="auto"/>
        <w:jc w:val="left"/>
        <w:rPr>
          <w:rFonts w:ascii="宋体" w:hAnsi="宋体" w:cs="宋体" w:hint="eastAsia"/>
          <w:kern w:val="0"/>
          <w:sz w:val="24"/>
          <w:szCs w:val="24"/>
        </w:rPr>
      </w:pPr>
      <w:r w:rsidRPr="00FE7D60">
        <w:rPr>
          <w:rFonts w:ascii="宋体" w:hAnsi="宋体" w:cs="宋体"/>
          <w:kern w:val="0"/>
          <w:sz w:val="24"/>
          <w:szCs w:val="24"/>
        </w:rPr>
        <w:t>主题词：环保 废旧金属 熔炼 监管 通知</w:t>
      </w:r>
    </w:p>
    <w:sectPr w:rsidR="0044183A" w:rsidRPr="00B35D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239" w:rsidRDefault="00CF5239" w:rsidP="00B35D84">
      <w:r>
        <w:separator/>
      </w:r>
    </w:p>
  </w:endnote>
  <w:endnote w:type="continuationSeparator" w:id="0">
    <w:p w:rsidR="00CF5239" w:rsidRDefault="00CF5239" w:rsidP="00B3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239" w:rsidRDefault="00CF5239" w:rsidP="00B35D84">
      <w:r>
        <w:separator/>
      </w:r>
    </w:p>
  </w:footnote>
  <w:footnote w:type="continuationSeparator" w:id="0">
    <w:p w:rsidR="00CF5239" w:rsidRDefault="00CF5239" w:rsidP="00B35D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DD"/>
    <w:rsid w:val="0044183A"/>
    <w:rsid w:val="00B35D84"/>
    <w:rsid w:val="00CF5239"/>
    <w:rsid w:val="00FE6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5050F"/>
  <w15:chartTrackingRefBased/>
  <w15:docId w15:val="{8B6337AD-9998-4451-991D-74A79E6AB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D84"/>
    <w:pPr>
      <w:widowControl w:val="0"/>
      <w:jc w:val="both"/>
    </w:pPr>
    <w:rPr>
      <w:rFonts w:ascii="Calibri" w:eastAsia="宋体" w:hAnsi="Calibri" w:cs="Times New Roman"/>
    </w:rPr>
  </w:style>
  <w:style w:type="paragraph" w:styleId="2">
    <w:name w:val="heading 2"/>
    <w:basedOn w:val="a"/>
    <w:next w:val="a"/>
    <w:link w:val="2Char"/>
    <w:uiPriority w:val="9"/>
    <w:unhideWhenUsed/>
    <w:qFormat/>
    <w:rsid w:val="00B35D84"/>
    <w:pPr>
      <w:keepNext/>
      <w:keepLines/>
      <w:spacing w:before="260" w:after="260" w:line="416" w:lineRule="auto"/>
      <w:outlineLvl w:val="1"/>
    </w:pPr>
    <w:rPr>
      <w:rFonts w:ascii="Cambria" w:hAnsi="Cambria"/>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5D8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35D84"/>
    <w:rPr>
      <w:sz w:val="18"/>
      <w:szCs w:val="18"/>
    </w:rPr>
  </w:style>
  <w:style w:type="paragraph" w:styleId="a5">
    <w:name w:val="footer"/>
    <w:basedOn w:val="a"/>
    <w:link w:val="a6"/>
    <w:uiPriority w:val="99"/>
    <w:unhideWhenUsed/>
    <w:rsid w:val="00B35D84"/>
    <w:pPr>
      <w:tabs>
        <w:tab w:val="center" w:pos="4153"/>
        <w:tab w:val="right" w:pos="8306"/>
      </w:tabs>
      <w:snapToGrid w:val="0"/>
      <w:jc w:val="left"/>
    </w:pPr>
    <w:rPr>
      <w:sz w:val="18"/>
      <w:szCs w:val="18"/>
    </w:rPr>
  </w:style>
  <w:style w:type="character" w:customStyle="1" w:styleId="a6">
    <w:name w:val="页脚 字符"/>
    <w:basedOn w:val="a0"/>
    <w:link w:val="a5"/>
    <w:uiPriority w:val="99"/>
    <w:rsid w:val="00B35D84"/>
    <w:rPr>
      <w:sz w:val="18"/>
      <w:szCs w:val="18"/>
    </w:rPr>
  </w:style>
  <w:style w:type="character" w:customStyle="1" w:styleId="20">
    <w:name w:val="标题 2 字符"/>
    <w:basedOn w:val="a0"/>
    <w:uiPriority w:val="9"/>
    <w:semiHidden/>
    <w:rsid w:val="00B35D84"/>
    <w:rPr>
      <w:rFonts w:asciiTheme="majorHAnsi" w:eastAsiaTheme="majorEastAsia" w:hAnsiTheme="majorHAnsi" w:cstheme="majorBidi"/>
      <w:b/>
      <w:bCs/>
      <w:sz w:val="32"/>
      <w:szCs w:val="32"/>
    </w:rPr>
  </w:style>
  <w:style w:type="character" w:customStyle="1" w:styleId="2Char">
    <w:name w:val="标题 2 Char"/>
    <w:link w:val="2"/>
    <w:uiPriority w:val="9"/>
    <w:rsid w:val="00B35D84"/>
    <w:rPr>
      <w:rFonts w:ascii="Cambria" w:eastAsia="宋体" w:hAnsi="Cambria" w:cs="Times New Roman"/>
      <w:b/>
      <w:bCs/>
      <w:kern w:val="0"/>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134</Words>
  <Characters>770</Characters>
  <Application>Microsoft Office Word</Application>
  <DocSecurity>0</DocSecurity>
  <Lines>6</Lines>
  <Paragraphs>1</Paragraphs>
  <ScaleCrop>false</ScaleCrop>
  <Company>Hewlett-Packard Company</Company>
  <LinksUpToDate>false</LinksUpToDate>
  <CharactersWithSpaces>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王旭杰</dc:creator>
  <cp:keywords/>
  <dc:description/>
  <cp:lastModifiedBy>王旭杰</cp:lastModifiedBy>
  <cp:revision>2</cp:revision>
  <dcterms:created xsi:type="dcterms:W3CDTF">2021-11-08T05:02:00Z</dcterms:created>
  <dcterms:modified xsi:type="dcterms:W3CDTF">2021-11-08T05:02:00Z</dcterms:modified>
</cp:coreProperties>
</file>